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/>
    <w:p>
      <w:pPr>
        <w:jc w:val="center"/>
        <w:rPr>
          <w:rFonts w:ascii="方正小标宋简体" w:hAnsi="黑体" w:eastAsia="方正小标宋简体" w:cs="Times New Roman"/>
          <w:bCs/>
          <w:sz w:val="36"/>
          <w:szCs w:val="36"/>
        </w:rPr>
      </w:pPr>
      <w:r>
        <w:rPr>
          <w:rFonts w:hint="eastAsia" w:ascii="方正小标宋简体" w:hAnsi="黑体" w:eastAsia="方正小标宋简体" w:cs="Times New Roman"/>
          <w:bCs/>
          <w:sz w:val="36"/>
          <w:szCs w:val="36"/>
        </w:rPr>
        <w:t>河北工业大学</w:t>
      </w:r>
      <w:bookmarkStart w:id="0" w:name="_GoBack"/>
      <w:bookmarkEnd w:id="0"/>
      <w:r>
        <w:rPr>
          <w:rFonts w:hint="eastAsia" w:ascii="方正小标宋简体" w:hAnsi="黑体" w:eastAsia="方正小标宋简体" w:cs="Times New Roman"/>
          <w:bCs/>
          <w:sz w:val="36"/>
          <w:szCs w:val="36"/>
        </w:rPr>
        <w:t>成人高等教育各专业主干课程一览表</w:t>
      </w:r>
    </w:p>
    <w:tbl>
      <w:tblPr>
        <w:tblStyle w:val="4"/>
        <w:tblW w:w="8844" w:type="dxa"/>
        <w:tblInd w:w="10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3580"/>
        <w:gridCol w:w="1701"/>
        <w:gridCol w:w="1134"/>
        <w:gridCol w:w="10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专业名称</w:t>
            </w:r>
          </w:p>
        </w:tc>
        <w:tc>
          <w:tcPr>
            <w:tcW w:w="3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课程名称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课程类型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课程学分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总学时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机械设计制造及其自动化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机械设计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控制工程基础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微控制器原理及应用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机械制造工程学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机械制造装备设计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数控技术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机械装备电气与PLC控制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车辆工程</w:t>
            </w:r>
          </w:p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控制工程基础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车辆制造工艺学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车辆试验学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液压与气压传动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车辆结构与发动机原理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车辆设计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车辆理论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汽车电子控制技术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能源与动力工程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传热学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工程流体力学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工程热力学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供热工程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制冷与空调技术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工程燃烧学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自动控制原理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电气工程及其自动化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数字模拟电子技术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电器学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自动控制理论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电力电子技术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电力系统分析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高电压工程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单片机嵌入式系统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电子信息工程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信号与线性系统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电磁场与电磁波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数字信号处理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专业名称</w:t>
            </w:r>
          </w:p>
        </w:tc>
        <w:tc>
          <w:tcPr>
            <w:tcW w:w="3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课程名称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课程类型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课程学分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总学时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电子信息工程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传感器与自动检测技术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高频电子线路及实验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5.0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EDA技术及实验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通信原理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计算机科学与技术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计算机组成原理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数据结构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编译原理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操作系统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数据库原理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计算机网络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软件工程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计算机系统结构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土木工程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结构力学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土木工程材料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混凝土结构基本原理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基础工程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土力学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钢结构设计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混凝土房屋结构设计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建筑工程施工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给排水科学与工程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水力学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水泵与水泵站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水工程施工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水资源利用与保护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建筑给水排水工程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水质工程学I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给水排水管道系统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水质工程学II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化学工程与工艺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分析化学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有机化学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化工原理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104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物理化学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化工热力学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化工工艺学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化学反应工程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化工设计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制药工程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有机化学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化工原理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104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专业名称</w:t>
            </w:r>
          </w:p>
        </w:tc>
        <w:tc>
          <w:tcPr>
            <w:tcW w:w="3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课程名称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课程类型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课程学分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总学时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制药工程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药物化学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药品生产质量管理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制药工艺学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药物分析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药剂学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制药设备与车间设计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交通运输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交通运输安全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交通运输设备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交通运输政策法规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高级物流学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城市客运交通运输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运输技术经济学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交通工程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交通工程学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交通工程设施设计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交通管理与控制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交通规划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道路交通安全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道路勘测设计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路基路面工程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交通设计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建筑学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城乡规划原理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场地设计原理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1.0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16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民用建筑设计A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住宅建筑设计原理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1.0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16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民用建筑设计B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民用建筑设计C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民用建筑设计D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工程管理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工程信息系统原理与开发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工程经济学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管理统计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工程项目管理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工程合同管理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工程结构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工程造价管理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公共事业管理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公共管理学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公共管理法律基础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公共经济学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社会组织管理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专业名称</w:t>
            </w:r>
          </w:p>
        </w:tc>
        <w:tc>
          <w:tcPr>
            <w:tcW w:w="3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课程名称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课程类型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课程学分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总学时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公共事业管理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公共事业管理学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公共组织财务管理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公共项目管理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公共政策分析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法学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刑事诉讼法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合同法与侵权法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经济法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民事诉讼法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行政诉讼法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法理学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法律职业伦理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知识产权法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商法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道路桥梁与渡河工程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道路建筑材料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结构力学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结构设计原理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道路勘测设计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基础工程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交通工程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路基路面工程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桥梁工程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工商管理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管理学原理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市场营销学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运营管理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组织行为学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管理经济学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财务管理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管理信息系统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人力资源管理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企业战略管理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会计学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财务管理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高级财务会计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税法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财务报表分析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管理会计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审计学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税务会计与税收筹划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</w:tbl>
    <w:p/>
    <w:sectPr>
      <w:pgSz w:w="11906" w:h="16838"/>
      <w:pgMar w:top="2155" w:right="1531" w:bottom="1871" w:left="1531" w:header="851" w:footer="992" w:gutter="11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1096"/>
    <w:rsid w:val="002F2BF5"/>
    <w:rsid w:val="00937062"/>
    <w:rsid w:val="009F05FF"/>
    <w:rsid w:val="00A61096"/>
    <w:rsid w:val="00E12284"/>
    <w:rsid w:val="00FD46B1"/>
    <w:rsid w:val="5690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528</Words>
  <Characters>3010</Characters>
  <Lines>25</Lines>
  <Paragraphs>7</Paragraphs>
  <TotalTime>19</TotalTime>
  <ScaleCrop>false</ScaleCrop>
  <LinksUpToDate>false</LinksUpToDate>
  <CharactersWithSpaces>3531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2020-09-25T01:29:00Z</dcterms:created>
  <dc:creator>周秀玲</dc:creator>
  <cp:lastModifiedBy>Administrator</cp:lastModifiedBy>
  <dcterms:modified xsi:type="dcterms:W3CDTF">2020-10-05T06:35:12Z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